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1DCA" w14:textId="77777777" w:rsidR="00B41F17" w:rsidRDefault="00B41F17" w:rsidP="00B41F17"/>
    <w:p w14:paraId="4FADB363" w14:textId="77777777" w:rsidR="00B41F17" w:rsidRDefault="00B41F17" w:rsidP="00B41F1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5C7B11C" w14:textId="77777777" w:rsidR="00B41F17" w:rsidRPr="008E7F68" w:rsidRDefault="00B41F17" w:rsidP="00B41F1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Ciudad de México a 17</w:t>
      </w:r>
      <w:r w:rsidRPr="008E7F68">
        <w:rPr>
          <w:rFonts w:ascii="Arial" w:hAnsi="Arial" w:cs="Arial"/>
          <w:i/>
          <w:sz w:val="20"/>
          <w:szCs w:val="20"/>
          <w:lang w:val="es-ES_tradnl"/>
        </w:rPr>
        <w:t xml:space="preserve"> de junio de 2015</w:t>
      </w:r>
    </w:p>
    <w:p w14:paraId="68E25856" w14:textId="77777777" w:rsidR="00B41F17" w:rsidRPr="00243498" w:rsidRDefault="00B41F17" w:rsidP="00B41F1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s-ES_tradnl"/>
        </w:rPr>
      </w:pPr>
    </w:p>
    <w:p w14:paraId="4E63BAED" w14:textId="77777777" w:rsidR="00B41F17" w:rsidRPr="008E7F68" w:rsidRDefault="00B41F17" w:rsidP="00B41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Mañana 18 de junio inicia la Preventa Banamex y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Superventa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Santander y el sábado 20 de junio comienza la venta general de boletos para el </w:t>
      </w:r>
      <w:r w:rsidRPr="00F12DA6">
        <w:rPr>
          <w:rFonts w:ascii="Arial" w:hAnsi="Arial" w:cs="Arial"/>
          <w:b/>
          <w:sz w:val="24"/>
          <w:szCs w:val="24"/>
          <w:lang w:val="es-ES_tradnl"/>
        </w:rPr>
        <w:t xml:space="preserve">FORMULA 1 GRAN PREMIO DE MÉXICO 2015 </w:t>
      </w:r>
      <w:r w:rsidRPr="00F12DA6">
        <w:rPr>
          <w:rFonts w:ascii="Arial" w:hAnsi="Arial" w:cs="Arial"/>
          <w:b/>
          <w:sz w:val="20"/>
          <w:szCs w:val="20"/>
          <w:lang w:val="es-ES_tradnl"/>
        </w:rPr>
        <w:t>®</w:t>
      </w:r>
    </w:p>
    <w:p w14:paraId="6306EE36" w14:textId="77777777" w:rsidR="00B41F17" w:rsidRPr="00243498" w:rsidRDefault="00B41F17" w:rsidP="00B41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BED7ED6" w14:textId="77777777" w:rsidR="00B41F17" w:rsidRDefault="00B41F17" w:rsidP="00B41F1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Superventa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Santander y Preventa Banamex le otorgará a los tarjetahabientes de ambos  bancos la posibilidad de comprar a 6 meses sin intereses tanto en preventa como en venta general.</w:t>
      </w:r>
    </w:p>
    <w:p w14:paraId="01279CD5" w14:textId="77777777" w:rsidR="00B41F17" w:rsidRPr="00DD374A" w:rsidRDefault="00B41F17" w:rsidP="00B41F1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 w:rsidRPr="00DD374A">
        <w:rPr>
          <w:rFonts w:ascii="Arial" w:hAnsi="Arial" w:cs="Arial"/>
          <w:sz w:val="20"/>
          <w:szCs w:val="20"/>
          <w:lang w:val="es-ES_tradnl"/>
        </w:rPr>
        <w:t xml:space="preserve">La venta general </w:t>
      </w:r>
      <w:r>
        <w:rPr>
          <w:rFonts w:ascii="Arial" w:hAnsi="Arial" w:cs="Arial"/>
          <w:sz w:val="20"/>
          <w:szCs w:val="20"/>
          <w:lang w:val="es-ES_tradnl"/>
        </w:rPr>
        <w:t xml:space="preserve">comienza el día 20 de junio </w:t>
      </w:r>
      <w:r w:rsidRPr="00DD374A">
        <w:rPr>
          <w:rFonts w:ascii="Arial" w:hAnsi="Arial" w:cs="Arial"/>
          <w:sz w:val="20"/>
          <w:szCs w:val="20"/>
          <w:lang w:val="es-ES_tradnl"/>
        </w:rPr>
        <w:t xml:space="preserve">con cualquier método de pago, a través </w:t>
      </w:r>
      <w:r>
        <w:rPr>
          <w:rFonts w:ascii="Arial" w:hAnsi="Arial" w:cs="Arial"/>
          <w:sz w:val="20"/>
          <w:szCs w:val="20"/>
          <w:lang w:val="es-ES_tradnl"/>
        </w:rPr>
        <w:t>de la red</w:t>
      </w:r>
      <w:r w:rsidRPr="00DD374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DD374A">
        <w:rPr>
          <w:rFonts w:ascii="Arial" w:hAnsi="Arial" w:cs="Arial"/>
          <w:sz w:val="20"/>
          <w:szCs w:val="20"/>
          <w:lang w:val="es-ES_tradnl"/>
        </w:rPr>
        <w:t>Ticketmaster</w:t>
      </w:r>
      <w:proofErr w:type="spellEnd"/>
      <w:r w:rsidRPr="00DD374A">
        <w:rPr>
          <w:rFonts w:ascii="Arial" w:hAnsi="Arial" w:cs="Arial"/>
          <w:sz w:val="20"/>
          <w:szCs w:val="20"/>
          <w:lang w:val="es-ES_tradnl"/>
        </w:rPr>
        <w:t xml:space="preserve"> y </w:t>
      </w:r>
      <w:r>
        <w:rPr>
          <w:rFonts w:ascii="Arial" w:hAnsi="Arial" w:cs="Arial"/>
          <w:sz w:val="20"/>
          <w:szCs w:val="20"/>
          <w:lang w:val="es-ES_tradnl"/>
        </w:rPr>
        <w:t>en la t</w:t>
      </w:r>
      <w:r w:rsidRPr="00DD374A">
        <w:rPr>
          <w:rFonts w:ascii="Arial" w:hAnsi="Arial" w:cs="Arial"/>
          <w:sz w:val="20"/>
          <w:szCs w:val="20"/>
          <w:lang w:val="es-ES_tradnl"/>
        </w:rPr>
        <w:t>aquilla 7 del Palacio de los Deportes.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67B8369F" w14:textId="77777777" w:rsidR="00B41F17" w:rsidRPr="00243498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1146827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Estamos a pocas horas del inicio de la nueva venta de boletos para el FORMULA 1 GRAN PREMIO DE MÉXICO 2015</w:t>
      </w:r>
      <w:r w:rsidRPr="008E7F68">
        <w:rPr>
          <w:rFonts w:ascii="Arial" w:hAnsi="Arial" w:cs="Arial"/>
          <w:sz w:val="16"/>
          <w:szCs w:val="16"/>
          <w:lang w:val="es-ES_tradnl"/>
        </w:rPr>
        <w:t>®</w:t>
      </w:r>
      <w:r>
        <w:rPr>
          <w:rFonts w:ascii="Arial" w:hAnsi="Arial" w:cs="Arial"/>
          <w:sz w:val="16"/>
          <w:szCs w:val="16"/>
          <w:lang w:val="es-ES_tradnl"/>
        </w:rPr>
        <w:t xml:space="preserve">.  </w:t>
      </w:r>
      <w:r>
        <w:rPr>
          <w:rFonts w:ascii="Arial" w:hAnsi="Arial" w:cs="Arial"/>
          <w:lang w:val="es-ES_tradnl"/>
        </w:rPr>
        <w:t>Est</w:t>
      </w:r>
      <w:r w:rsidRPr="00063BAE">
        <w:rPr>
          <w:rFonts w:ascii="Arial" w:hAnsi="Arial" w:cs="Arial"/>
          <w:lang w:val="es-ES_tradnl"/>
        </w:rPr>
        <w:t xml:space="preserve">a nueva oferta </w:t>
      </w:r>
      <w:r>
        <w:rPr>
          <w:rFonts w:ascii="Arial" w:hAnsi="Arial" w:cs="Arial"/>
          <w:lang w:val="es-ES_tradnl"/>
        </w:rPr>
        <w:t>se ofrecerá para todas las localidades y se asegurarán entradas suficientes tanto para la fase de pre venta como para la venta general.</w:t>
      </w:r>
    </w:p>
    <w:p w14:paraId="26EC5ECF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4FDFF58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</w:t>
      </w:r>
      <w:proofErr w:type="spellStart"/>
      <w:r w:rsidRPr="00063BAE">
        <w:rPr>
          <w:rFonts w:ascii="Arial" w:hAnsi="Arial" w:cs="Arial"/>
          <w:lang w:val="es-ES_tradnl"/>
        </w:rPr>
        <w:t>Superventa</w:t>
      </w:r>
      <w:proofErr w:type="spellEnd"/>
      <w:r w:rsidRPr="00063BAE">
        <w:rPr>
          <w:rFonts w:ascii="Arial" w:hAnsi="Arial" w:cs="Arial"/>
          <w:lang w:val="es-ES_tradnl"/>
        </w:rPr>
        <w:t xml:space="preserve"> Santander </w:t>
      </w:r>
      <w:r>
        <w:rPr>
          <w:rFonts w:ascii="Arial" w:hAnsi="Arial" w:cs="Arial"/>
          <w:lang w:val="es-ES_tradnl"/>
        </w:rPr>
        <w:t xml:space="preserve">y </w:t>
      </w:r>
      <w:r w:rsidRPr="00063BAE">
        <w:rPr>
          <w:rFonts w:ascii="Arial" w:hAnsi="Arial" w:cs="Arial"/>
          <w:lang w:val="es-ES_tradnl"/>
        </w:rPr>
        <w:t xml:space="preserve">Preventa Banamex </w:t>
      </w:r>
      <w:r>
        <w:rPr>
          <w:rFonts w:ascii="Arial" w:hAnsi="Arial" w:cs="Arial"/>
          <w:lang w:val="es-ES_tradnl"/>
        </w:rPr>
        <w:t xml:space="preserve">los días </w:t>
      </w:r>
      <w:r w:rsidRPr="00063BAE">
        <w:rPr>
          <w:rFonts w:ascii="Arial" w:hAnsi="Arial" w:cs="Arial"/>
          <w:lang w:val="es-ES_tradnl"/>
        </w:rPr>
        <w:t>18 y 19 de junio</w:t>
      </w:r>
      <w:r>
        <w:rPr>
          <w:rFonts w:ascii="Arial" w:hAnsi="Arial" w:cs="Arial"/>
          <w:lang w:val="es-ES_tradnl"/>
        </w:rPr>
        <w:t xml:space="preserve"> </w:t>
      </w:r>
      <w:r w:rsidRPr="00063BAE">
        <w:rPr>
          <w:rFonts w:ascii="Arial" w:hAnsi="Arial" w:cs="Arial"/>
          <w:lang w:val="es-ES_tradnl"/>
        </w:rPr>
        <w:t>los tarjetahabientes de ambos bancos podrán tener la posibilidad de adquirir sus bol</w:t>
      </w:r>
      <w:r>
        <w:rPr>
          <w:rFonts w:ascii="Arial" w:hAnsi="Arial" w:cs="Arial"/>
          <w:lang w:val="es-ES_tradnl"/>
        </w:rPr>
        <w:t xml:space="preserve">etos a seis meses sin intereses a través de la Red de </w:t>
      </w:r>
      <w:proofErr w:type="spellStart"/>
      <w:r>
        <w:rPr>
          <w:rFonts w:ascii="Arial" w:hAnsi="Arial" w:cs="Arial"/>
          <w:lang w:val="es-ES_tradnl"/>
        </w:rPr>
        <w:t>Ticketmaster</w:t>
      </w:r>
      <w:proofErr w:type="spellEnd"/>
      <w:r>
        <w:rPr>
          <w:rFonts w:ascii="Arial" w:hAnsi="Arial" w:cs="Arial"/>
          <w:lang w:val="es-ES_tradnl"/>
        </w:rPr>
        <w:t>, tanto en la fase de preventa como en la venta general.</w:t>
      </w:r>
    </w:p>
    <w:p w14:paraId="2F39AC23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28D7409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Ticketmaster</w:t>
      </w:r>
      <w:proofErr w:type="spellEnd"/>
      <w:r>
        <w:rPr>
          <w:rFonts w:ascii="Arial" w:hAnsi="Arial" w:cs="Arial"/>
          <w:lang w:val="es-ES_tradnl"/>
        </w:rPr>
        <w:t xml:space="preserve"> puede atender hasta 4,500 personas simultáneamente en su plataforma telefónica, internet, puntos de venta y taquilla. Por lo que recomendamos la compra anticipada. </w:t>
      </w:r>
    </w:p>
    <w:p w14:paraId="17A95563" w14:textId="77777777" w:rsidR="00B41F17" w:rsidRDefault="00B41F17" w:rsidP="00B41F17">
      <w:pPr>
        <w:spacing w:after="0" w:line="240" w:lineRule="auto"/>
        <w:jc w:val="both"/>
      </w:pPr>
    </w:p>
    <w:p w14:paraId="563D81D1" w14:textId="77777777" w:rsidR="00B41F17" w:rsidRPr="00B31575" w:rsidRDefault="00B41F17" w:rsidP="00B41F1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B31575">
        <w:rPr>
          <w:rFonts w:ascii="Arial" w:hAnsi="Arial" w:cs="Arial"/>
          <w:b/>
        </w:rPr>
        <w:t>Se recuerda que los boletos se pueden obtener únicamente a través del sistema Ticketmaster, a partir de las 11:00 hrs</w:t>
      </w:r>
      <w:r>
        <w:rPr>
          <w:rFonts w:ascii="Arial" w:hAnsi="Arial" w:cs="Arial"/>
          <w:b/>
        </w:rPr>
        <w:t xml:space="preserve"> tanto en la fase de preventa (18 y 19 de junio) como en la venta general (a partir del 20 de junio).</w:t>
      </w:r>
    </w:p>
    <w:p w14:paraId="10AA1A60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68C29A7B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063BAE">
        <w:rPr>
          <w:rFonts w:ascii="Arial" w:hAnsi="Arial" w:cs="Arial"/>
          <w:lang w:val="es-ES_tradnl"/>
        </w:rPr>
        <w:t>La venta general estará disponible a partir del 20 de junio</w:t>
      </w:r>
      <w:r>
        <w:rPr>
          <w:rFonts w:ascii="Arial" w:hAnsi="Arial" w:cs="Arial"/>
          <w:lang w:val="es-ES_tradnl"/>
        </w:rPr>
        <w:t xml:space="preserve"> </w:t>
      </w:r>
      <w:r w:rsidRPr="00063BAE">
        <w:rPr>
          <w:rFonts w:ascii="Arial" w:hAnsi="Arial" w:cs="Arial"/>
          <w:lang w:val="es-ES_tradnl"/>
        </w:rPr>
        <w:t xml:space="preserve">con cualquier método de pago. </w:t>
      </w:r>
    </w:p>
    <w:p w14:paraId="0CAD5713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0F22713" w14:textId="77777777" w:rsidR="00B41F17" w:rsidRPr="00D02294" w:rsidRDefault="00B41F17" w:rsidP="00B41F1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D02294">
        <w:rPr>
          <w:rFonts w:ascii="Arial" w:hAnsi="Arial" w:cs="Arial"/>
          <w:b/>
          <w:lang w:val="es-ES_tradnl"/>
        </w:rPr>
        <w:t>Los boletos estarán disponibles</w:t>
      </w:r>
      <w:r>
        <w:rPr>
          <w:rFonts w:ascii="Arial" w:hAnsi="Arial" w:cs="Arial"/>
          <w:b/>
          <w:lang w:val="es-ES_tradnl"/>
        </w:rPr>
        <w:t xml:space="preserve"> a la venta</w:t>
      </w:r>
      <w:r w:rsidRPr="00D02294">
        <w:rPr>
          <w:rFonts w:ascii="Arial" w:hAnsi="Arial" w:cs="Arial"/>
          <w:b/>
          <w:lang w:val="es-ES_tradnl"/>
        </w:rPr>
        <w:t xml:space="preserve"> en:</w:t>
      </w:r>
    </w:p>
    <w:p w14:paraId="14D2066E" w14:textId="77777777" w:rsidR="00B41F17" w:rsidRPr="00D02294" w:rsidRDefault="00E4564A" w:rsidP="00B41F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hyperlink r:id="rId8" w:history="1">
        <w:r w:rsidR="00B41F17" w:rsidRPr="00D02294">
          <w:rPr>
            <w:rStyle w:val="Hyperlink"/>
            <w:rFonts w:ascii="Arial" w:hAnsi="Arial" w:cs="Arial"/>
            <w:lang w:val="es-ES_tradnl"/>
          </w:rPr>
          <w:t>www.ticketmaster.com.mx</w:t>
        </w:r>
      </w:hyperlink>
    </w:p>
    <w:p w14:paraId="584D6D9F" w14:textId="77777777" w:rsidR="00B41F17" w:rsidRPr="00D02294" w:rsidRDefault="00B41F17" w:rsidP="00B41F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D02294">
        <w:rPr>
          <w:rFonts w:ascii="Arial" w:hAnsi="Arial" w:cs="Arial"/>
          <w:lang w:val="es-ES_tradnl"/>
        </w:rPr>
        <w:t xml:space="preserve">Centros </w:t>
      </w:r>
      <w:proofErr w:type="spellStart"/>
      <w:r w:rsidRPr="00D02294">
        <w:rPr>
          <w:rFonts w:ascii="Arial" w:hAnsi="Arial" w:cs="Arial"/>
          <w:lang w:val="es-ES_tradnl"/>
        </w:rPr>
        <w:t>Ticketmaster</w:t>
      </w:r>
      <w:proofErr w:type="spellEnd"/>
    </w:p>
    <w:p w14:paraId="2D73476D" w14:textId="77777777" w:rsidR="00B41F17" w:rsidRDefault="00B41F17" w:rsidP="00B41F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D02294">
        <w:rPr>
          <w:rFonts w:ascii="Arial" w:hAnsi="Arial" w:cs="Arial"/>
          <w:lang w:val="es-ES_tradnl"/>
        </w:rPr>
        <w:t xml:space="preserve">Teléfono </w:t>
      </w:r>
      <w:proofErr w:type="spellStart"/>
      <w:r w:rsidRPr="00D02294">
        <w:rPr>
          <w:rFonts w:ascii="Arial" w:hAnsi="Arial" w:cs="Arial"/>
          <w:lang w:val="es-ES_tradnl"/>
        </w:rPr>
        <w:t>Ticketmaster</w:t>
      </w:r>
      <w:proofErr w:type="spellEnd"/>
      <w:r w:rsidRPr="00D02294">
        <w:rPr>
          <w:rFonts w:ascii="Arial" w:hAnsi="Arial" w:cs="Arial"/>
          <w:lang w:val="es-ES_tradnl"/>
        </w:rPr>
        <w:t xml:space="preserve">: 55 53259000 </w:t>
      </w:r>
    </w:p>
    <w:p w14:paraId="3A87F232" w14:textId="77777777" w:rsidR="00B41F17" w:rsidRDefault="00B41F17" w:rsidP="00B41F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Taquilla 7 ubicada en el Palacio de los Deportes</w:t>
      </w:r>
    </w:p>
    <w:p w14:paraId="0C633A97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5CB5ED6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602297B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4BFE498C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mayor información acerca de las nuevas localidades, favor de ingresar a </w:t>
      </w:r>
      <w:hyperlink r:id="rId9" w:history="1">
        <w:r w:rsidRPr="00FC1776">
          <w:rPr>
            <w:rStyle w:val="Hyperlink"/>
            <w:rFonts w:ascii="Arial" w:hAnsi="Arial" w:cs="Arial"/>
            <w:lang w:val="es-ES_tradnl"/>
          </w:rPr>
          <w:t>www.ahr.mx</w:t>
        </w:r>
      </w:hyperlink>
    </w:p>
    <w:p w14:paraId="75584F0E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7DDCC10" w14:textId="77777777" w:rsidR="00B41F17" w:rsidRDefault="00B41F17" w:rsidP="00B41F1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3170"/>
        <w:gridCol w:w="3970"/>
      </w:tblGrid>
      <w:tr w:rsidR="00B41F17" w:rsidRPr="00AA5118" w14:paraId="24351897" w14:textId="77777777" w:rsidTr="00F0028A">
        <w:trPr>
          <w:trHeight w:val="227"/>
          <w:jc w:val="center"/>
        </w:trPr>
        <w:tc>
          <w:tcPr>
            <w:tcW w:w="3170" w:type="dxa"/>
            <w:tcBorders>
              <w:bottom w:val="single" w:sz="18" w:space="0" w:color="auto"/>
            </w:tcBorders>
          </w:tcPr>
          <w:p w14:paraId="72EA64F1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Boleto</w:t>
            </w:r>
          </w:p>
        </w:tc>
        <w:tc>
          <w:tcPr>
            <w:tcW w:w="3970" w:type="dxa"/>
            <w:tcBorders>
              <w:bottom w:val="single" w:sz="18" w:space="0" w:color="auto"/>
            </w:tcBorders>
          </w:tcPr>
          <w:p w14:paraId="252F574E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Precio MXN </w:t>
            </w:r>
            <w:r>
              <w:rPr>
                <w:rFonts w:ascii="Arial" w:hAnsi="Arial" w:cs="Arial"/>
                <w:b/>
                <w:bCs/>
                <w:sz w:val="20"/>
              </w:rPr>
              <w:t>(abono</w:t>
            </w:r>
            <w:r w:rsidRPr="0047404C">
              <w:rPr>
                <w:rFonts w:ascii="Arial" w:hAnsi="Arial" w:cs="Arial"/>
                <w:b/>
                <w:bCs/>
                <w:sz w:val="20"/>
              </w:rPr>
              <w:t>3 días)</w:t>
            </w:r>
          </w:p>
        </w:tc>
      </w:tr>
      <w:tr w:rsidR="00B41F17" w:rsidRPr="00AA5118" w14:paraId="26447B6B" w14:textId="77777777" w:rsidTr="00F0028A">
        <w:trPr>
          <w:trHeight w:val="30"/>
          <w:jc w:val="center"/>
        </w:trPr>
        <w:tc>
          <w:tcPr>
            <w:tcW w:w="3170" w:type="dxa"/>
            <w:tcBorders>
              <w:top w:val="single" w:sz="18" w:space="0" w:color="auto"/>
            </w:tcBorders>
          </w:tcPr>
          <w:p w14:paraId="23FD16C0" w14:textId="77777777" w:rsidR="00B41F17" w:rsidRDefault="00B41F17" w:rsidP="00F002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18" w:space="0" w:color="auto"/>
            </w:tcBorders>
          </w:tcPr>
          <w:p w14:paraId="3F5E7893" w14:textId="77777777" w:rsidR="00B41F17" w:rsidRDefault="00B41F17" w:rsidP="00F002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F17" w:rsidRPr="00AA5118" w14:paraId="49FB1FB1" w14:textId="77777777" w:rsidTr="00F0028A">
        <w:trPr>
          <w:trHeight w:val="257"/>
          <w:jc w:val="center"/>
        </w:trPr>
        <w:tc>
          <w:tcPr>
            <w:tcW w:w="3170" w:type="dxa"/>
          </w:tcPr>
          <w:p w14:paraId="2C3F6D72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Grada Admisión General</w:t>
            </w:r>
          </w:p>
        </w:tc>
        <w:tc>
          <w:tcPr>
            <w:tcW w:w="3970" w:type="dxa"/>
          </w:tcPr>
          <w:p w14:paraId="18568363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$1,500.00</w:t>
            </w:r>
          </w:p>
        </w:tc>
      </w:tr>
      <w:tr w:rsidR="00B41F17" w:rsidRPr="00AA5118" w14:paraId="619503C7" w14:textId="77777777" w:rsidTr="00F0028A">
        <w:trPr>
          <w:trHeight w:val="257"/>
          <w:jc w:val="center"/>
        </w:trPr>
        <w:tc>
          <w:tcPr>
            <w:tcW w:w="3170" w:type="dxa"/>
          </w:tcPr>
          <w:p w14:paraId="41FBA204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Grada Foro Sol Sur</w:t>
            </w:r>
          </w:p>
        </w:tc>
        <w:tc>
          <w:tcPr>
            <w:tcW w:w="3970" w:type="dxa"/>
          </w:tcPr>
          <w:p w14:paraId="6D834FB0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$4,500.00</w:t>
            </w:r>
          </w:p>
        </w:tc>
      </w:tr>
      <w:tr w:rsidR="00B41F17" w:rsidRPr="00AA5118" w14:paraId="64275584" w14:textId="77777777" w:rsidTr="00F0028A">
        <w:trPr>
          <w:trHeight w:val="257"/>
          <w:jc w:val="center"/>
        </w:trPr>
        <w:tc>
          <w:tcPr>
            <w:tcW w:w="3170" w:type="dxa"/>
          </w:tcPr>
          <w:p w14:paraId="2CBED86A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Grada Foro Sol Norte</w:t>
            </w:r>
          </w:p>
        </w:tc>
        <w:tc>
          <w:tcPr>
            <w:tcW w:w="3970" w:type="dxa"/>
          </w:tcPr>
          <w:p w14:paraId="30811C4C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$6,500.00</w:t>
            </w:r>
          </w:p>
        </w:tc>
      </w:tr>
      <w:tr w:rsidR="00B41F17" w:rsidRPr="00AA5118" w14:paraId="75D1CCE8" w14:textId="77777777" w:rsidTr="00F0028A">
        <w:trPr>
          <w:trHeight w:val="246"/>
          <w:jc w:val="center"/>
        </w:trPr>
        <w:tc>
          <w:tcPr>
            <w:tcW w:w="3170" w:type="dxa"/>
          </w:tcPr>
          <w:p w14:paraId="540894D9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Grada Oro</w:t>
            </w:r>
          </w:p>
        </w:tc>
        <w:tc>
          <w:tcPr>
            <w:tcW w:w="3970" w:type="dxa"/>
          </w:tcPr>
          <w:p w14:paraId="68433840" w14:textId="77777777" w:rsidR="00B41F17" w:rsidRPr="00AA5118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5118">
              <w:rPr>
                <w:rFonts w:ascii="Arial" w:hAnsi="Arial" w:cs="Arial"/>
              </w:rPr>
              <w:t>$9,000.00</w:t>
            </w:r>
          </w:p>
        </w:tc>
      </w:tr>
      <w:tr w:rsidR="00B41F17" w:rsidRPr="00AA5118" w14:paraId="748DA7BA" w14:textId="77777777" w:rsidTr="00F0028A">
        <w:trPr>
          <w:trHeight w:val="772"/>
          <w:jc w:val="center"/>
        </w:trPr>
        <w:tc>
          <w:tcPr>
            <w:tcW w:w="3170" w:type="dxa"/>
          </w:tcPr>
          <w:p w14:paraId="0CAEE26F" w14:textId="77777777" w:rsidR="00B41F17" w:rsidRPr="00E764F9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64F9">
              <w:rPr>
                <w:rFonts w:ascii="Arial" w:hAnsi="Arial" w:cs="Arial"/>
              </w:rPr>
              <w:t>Grada Platino</w:t>
            </w:r>
          </w:p>
          <w:p w14:paraId="2C31836F" w14:textId="77777777" w:rsidR="00B41F17" w:rsidRPr="00E764F9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64F9">
              <w:rPr>
                <w:rFonts w:ascii="Arial" w:hAnsi="Arial" w:cs="Arial"/>
              </w:rPr>
              <w:t>Main</w:t>
            </w:r>
            <w:r>
              <w:rPr>
                <w:rFonts w:ascii="Arial" w:hAnsi="Arial" w:cs="Arial"/>
              </w:rPr>
              <w:t xml:space="preserve"> </w:t>
            </w:r>
            <w:r w:rsidRPr="00E764F9">
              <w:rPr>
                <w:rFonts w:ascii="Arial" w:hAnsi="Arial" w:cs="Arial"/>
              </w:rPr>
              <w:t>Grandstand</w:t>
            </w:r>
          </w:p>
        </w:tc>
        <w:tc>
          <w:tcPr>
            <w:tcW w:w="3970" w:type="dxa"/>
          </w:tcPr>
          <w:p w14:paraId="028BFB44" w14:textId="77777777" w:rsidR="00B41F17" w:rsidRPr="00E764F9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64F9">
              <w:rPr>
                <w:rFonts w:ascii="Arial" w:hAnsi="Arial" w:cs="Arial"/>
              </w:rPr>
              <w:t>$12,000.00</w:t>
            </w:r>
          </w:p>
          <w:p w14:paraId="4F330D2F" w14:textId="77777777" w:rsidR="00B41F17" w:rsidRPr="00E764F9" w:rsidRDefault="00B41F17" w:rsidP="00F0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64F9">
              <w:rPr>
                <w:rFonts w:ascii="Arial" w:hAnsi="Arial" w:cs="Arial"/>
              </w:rPr>
              <w:t>$18,750.00 más Derecho de Apartado</w:t>
            </w:r>
          </w:p>
        </w:tc>
      </w:tr>
    </w:tbl>
    <w:p w14:paraId="796891BD" w14:textId="77777777" w:rsidR="00B41F17" w:rsidRPr="009652E2" w:rsidRDefault="00B41F17" w:rsidP="00B41F17">
      <w:pPr>
        <w:spacing w:after="0" w:line="24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544EBE2" wp14:editId="701A20FA">
            <wp:extent cx="5612130" cy="43097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_Grad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F393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4EAC283E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Aunado a esto, contamos con una variedad de paquetes corporativos, los cuales incluyen diferentes opciones de hospitalidad alrededor de la pista. Para mayor información favor de comunicarse al 21221505 o por medio de sales@ahr.mx.</w:t>
      </w:r>
    </w:p>
    <w:p w14:paraId="3D90A432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0F7EB8D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CIE ha establecido también una</w:t>
      </w:r>
      <w:r w:rsidRPr="00063BAE">
        <w:rPr>
          <w:rFonts w:ascii="Arial" w:hAnsi="Arial" w:cs="Arial"/>
          <w:lang w:val="es-ES_tradnl"/>
        </w:rPr>
        <w:t xml:space="preserve"> asociación </w:t>
      </w:r>
      <w:r>
        <w:rPr>
          <w:rFonts w:ascii="Arial" w:hAnsi="Arial" w:cs="Arial"/>
          <w:lang w:val="es-ES_tradnl"/>
        </w:rPr>
        <w:t xml:space="preserve">con </w:t>
      </w:r>
      <w:proofErr w:type="spellStart"/>
      <w:r>
        <w:rPr>
          <w:rFonts w:ascii="Arial" w:hAnsi="Arial" w:cs="Arial"/>
          <w:lang w:val="es-ES_tradnl"/>
        </w:rPr>
        <w:t>QuintEvents</w:t>
      </w:r>
      <w:proofErr w:type="spellEnd"/>
      <w:r>
        <w:rPr>
          <w:rFonts w:ascii="Arial" w:hAnsi="Arial" w:cs="Arial"/>
          <w:lang w:val="es-ES_tradnl"/>
        </w:rPr>
        <w:t xml:space="preserve"> para ofrecer paquetes de hospitalidad bajo el nuevo programa Gran Premio de México VIP. </w:t>
      </w:r>
      <w:r w:rsidRPr="00063BAE">
        <w:rPr>
          <w:rFonts w:ascii="Arial" w:hAnsi="Arial" w:cs="Arial"/>
          <w:lang w:val="es-ES_tradnl"/>
        </w:rPr>
        <w:t>El programa ofrece un lote adicional de boletos con acceso exclusivo a la c</w:t>
      </w:r>
      <w:r>
        <w:rPr>
          <w:rFonts w:ascii="Arial" w:hAnsi="Arial" w:cs="Arial"/>
          <w:lang w:val="es-ES_tradnl"/>
        </w:rPr>
        <w:t>arrera y a eventos especiales. L</w:t>
      </w:r>
      <w:r w:rsidRPr="00063BAE">
        <w:rPr>
          <w:rFonts w:ascii="Arial" w:hAnsi="Arial" w:cs="Arial"/>
          <w:lang w:val="es-ES_tradnl"/>
        </w:rPr>
        <w:t>os cuales incluyen</w:t>
      </w:r>
      <w:r>
        <w:rPr>
          <w:rFonts w:ascii="Arial" w:hAnsi="Arial" w:cs="Arial"/>
          <w:lang w:val="es-ES_tradnl"/>
        </w:rPr>
        <w:t>, entre otras cosas,</w:t>
      </w:r>
      <w:r w:rsidRPr="00063BAE">
        <w:rPr>
          <w:rFonts w:ascii="Arial" w:hAnsi="Arial" w:cs="Arial"/>
          <w:lang w:val="es-ES_tradnl"/>
        </w:rPr>
        <w:t xml:space="preserve"> hospedaje</w:t>
      </w:r>
      <w:r>
        <w:rPr>
          <w:rFonts w:ascii="Arial" w:hAnsi="Arial" w:cs="Arial"/>
          <w:lang w:val="es-ES_tradnl"/>
        </w:rPr>
        <w:t xml:space="preserve"> en la Ciudad de México y acceso al exclusivo </w:t>
      </w:r>
      <w:proofErr w:type="spellStart"/>
      <w:r>
        <w:rPr>
          <w:rFonts w:ascii="Arial" w:hAnsi="Arial" w:cs="Arial"/>
          <w:lang w:val="es-ES_tradnl"/>
        </w:rPr>
        <w:t>Legends</w:t>
      </w:r>
      <w:proofErr w:type="spellEnd"/>
      <w:r>
        <w:rPr>
          <w:rFonts w:ascii="Arial" w:hAnsi="Arial" w:cs="Arial"/>
          <w:lang w:val="es-ES_tradnl"/>
        </w:rPr>
        <w:t xml:space="preserve"> Club donde se podrá disfrutar de</w:t>
      </w:r>
      <w:r w:rsidRPr="00063BAE">
        <w:rPr>
          <w:rFonts w:ascii="Arial" w:hAnsi="Arial" w:cs="Arial"/>
          <w:lang w:val="es-ES_tradnl"/>
        </w:rPr>
        <w:t xml:space="preserve"> experiencias únicas como un almuerzo y una sesión de preguntas y respuestas con la leyenda de la </w:t>
      </w:r>
      <w:r w:rsidR="00E4564A">
        <w:rPr>
          <w:rFonts w:ascii="Arial" w:hAnsi="Arial" w:cs="Arial"/>
          <w:lang w:val="es-ES_tradnl"/>
        </w:rPr>
        <w:t>FORMULA</w:t>
      </w:r>
      <w:r w:rsidRPr="00063BAE">
        <w:rPr>
          <w:rFonts w:ascii="Arial" w:hAnsi="Arial" w:cs="Arial"/>
          <w:lang w:val="es-ES_tradnl"/>
        </w:rPr>
        <w:t xml:space="preserve"> 1</w:t>
      </w:r>
      <w:r w:rsidR="00E4564A">
        <w:rPr>
          <w:rFonts w:ascii="Arial" w:hAnsi="Arial" w:cs="Arial"/>
          <w:lang w:val="es-ES_tradnl"/>
        </w:rPr>
        <w:t>®</w:t>
      </w:r>
      <w:r w:rsidRPr="00063BAE">
        <w:rPr>
          <w:rFonts w:ascii="Arial" w:hAnsi="Arial" w:cs="Arial"/>
          <w:lang w:val="es-ES_tradnl"/>
        </w:rPr>
        <w:t xml:space="preserve">, Emerson </w:t>
      </w:r>
      <w:proofErr w:type="spellStart"/>
      <w:r w:rsidRPr="00063BAE">
        <w:rPr>
          <w:rFonts w:ascii="Arial" w:hAnsi="Arial" w:cs="Arial"/>
          <w:lang w:val="es-ES_tradnl"/>
        </w:rPr>
        <w:t>Fittipaldi</w:t>
      </w:r>
      <w:proofErr w:type="spellEnd"/>
      <w:r w:rsidRPr="00063BAE">
        <w:rPr>
          <w:rFonts w:ascii="Arial" w:hAnsi="Arial" w:cs="Arial"/>
          <w:lang w:val="es-ES_tradnl"/>
        </w:rPr>
        <w:t>.</w:t>
      </w:r>
    </w:p>
    <w:p w14:paraId="721474CF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5D21B51" w14:textId="77777777" w:rsidR="00B41F17" w:rsidRPr="004F7876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Pr="006A09FA">
        <w:rPr>
          <w:rFonts w:ascii="Arial" w:hAnsi="Arial" w:cs="Arial"/>
          <w:lang w:val="es-ES_tradnl"/>
        </w:rPr>
        <w:t xml:space="preserve">e ha establecido también una alianza con </w:t>
      </w:r>
      <w:proofErr w:type="spellStart"/>
      <w:r w:rsidRPr="006A09FA">
        <w:rPr>
          <w:rFonts w:ascii="Arial" w:hAnsi="Arial" w:cs="Arial"/>
          <w:lang w:val="es-ES_tradnl"/>
        </w:rPr>
        <w:t>Mundomex</w:t>
      </w:r>
      <w:proofErr w:type="spellEnd"/>
      <w:r>
        <w:rPr>
          <w:rFonts w:ascii="Arial" w:hAnsi="Arial" w:cs="Arial"/>
          <w:lang w:val="es-ES_tradnl"/>
        </w:rPr>
        <w:t>,</w:t>
      </w:r>
      <w:r w:rsidRPr="006A09FA">
        <w:rPr>
          <w:rFonts w:ascii="Arial" w:hAnsi="Arial" w:cs="Arial"/>
          <w:lang w:val="es-ES_tradnl"/>
        </w:rPr>
        <w:t xml:space="preserve"> que ofrece</w:t>
      </w:r>
      <w:r>
        <w:rPr>
          <w:rFonts w:ascii="Arial" w:hAnsi="Arial" w:cs="Arial"/>
          <w:lang w:val="es-ES_tradnl"/>
        </w:rPr>
        <w:t xml:space="preserve">rá en exclusiva Boxes en la sección “Platino Plus Oasis” ubicada en la parte interna del complejo Moisés Solana, así como </w:t>
      </w:r>
      <w:proofErr w:type="spellStart"/>
      <w:r>
        <w:rPr>
          <w:rFonts w:ascii="Arial" w:hAnsi="Arial" w:cs="Arial"/>
          <w:lang w:val="es-ES_tradnl"/>
        </w:rPr>
        <w:t>Sky</w:t>
      </w:r>
      <w:proofErr w:type="spellEnd"/>
      <w:r>
        <w:rPr>
          <w:rFonts w:ascii="Arial" w:hAnsi="Arial" w:cs="Arial"/>
          <w:lang w:val="es-ES_tradnl"/>
        </w:rPr>
        <w:t xml:space="preserve"> Boxes panorámicos en las gradas 5, 9, 10 y 11.</w:t>
      </w:r>
    </w:p>
    <w:p w14:paraId="386EBE7B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B8E362D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Gracias a la asociación que </w:t>
      </w:r>
      <w:r w:rsidRPr="00243498">
        <w:rPr>
          <w:rFonts w:ascii="Arial" w:hAnsi="Arial" w:cs="Arial"/>
          <w:lang w:val="es-ES_tradnl"/>
        </w:rPr>
        <w:t xml:space="preserve">Corporación Interamericana de Entretenimiento (CIE) ha </w:t>
      </w:r>
      <w:r>
        <w:rPr>
          <w:rFonts w:ascii="Arial" w:hAnsi="Arial" w:cs="Arial"/>
          <w:lang w:val="es-ES_tradnl"/>
        </w:rPr>
        <w:t xml:space="preserve">establecido con </w:t>
      </w:r>
      <w:r w:rsidRPr="00243498">
        <w:rPr>
          <w:rFonts w:ascii="Arial" w:hAnsi="Arial" w:cs="Arial"/>
          <w:lang w:val="es-ES_tradnl"/>
        </w:rPr>
        <w:t xml:space="preserve">NUSSLI, uno de los constructores de gradas más prestigiados del mundo, </w:t>
      </w:r>
      <w:r>
        <w:rPr>
          <w:rFonts w:ascii="Arial" w:hAnsi="Arial" w:cs="Arial"/>
          <w:lang w:val="es-ES_tradnl"/>
        </w:rPr>
        <w:t xml:space="preserve">se maximizará </w:t>
      </w:r>
      <w:r w:rsidRPr="007B3AA5">
        <w:rPr>
          <w:rFonts w:ascii="Arial" w:hAnsi="Arial" w:cs="Arial"/>
          <w:lang w:val="es-ES_tradnl"/>
        </w:rPr>
        <w:t>la capacidad de asientos</w:t>
      </w:r>
      <w:r>
        <w:rPr>
          <w:rFonts w:ascii="Arial" w:hAnsi="Arial" w:cs="Arial"/>
          <w:lang w:val="es-ES_tradnl"/>
        </w:rPr>
        <w:t xml:space="preserve"> del Autódromo Hermanos Rodríguez en un 10%.</w:t>
      </w:r>
    </w:p>
    <w:p w14:paraId="69C10661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D1EB39F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 la asesoría y tecnología de NUSSLI, se realizarán diferentes mejoras para hacer más eficiente el aforo del autódromo y </w:t>
      </w:r>
      <w:r w:rsidRPr="00264A9E">
        <w:rPr>
          <w:rFonts w:ascii="Arial" w:hAnsi="Arial" w:cs="Arial"/>
          <w:lang w:val="es-ES_tradnl"/>
        </w:rPr>
        <w:t>aumentar la capacidad de asientos</w:t>
      </w:r>
      <w:r>
        <w:rPr>
          <w:rFonts w:ascii="Arial" w:hAnsi="Arial" w:cs="Arial"/>
          <w:lang w:val="es-ES_tradnl"/>
        </w:rPr>
        <w:t xml:space="preserve"> en las diferentes zonas </w:t>
      </w:r>
      <w:r w:rsidRPr="00102E92">
        <w:rPr>
          <w:rFonts w:ascii="Arial" w:hAnsi="Arial" w:cs="Arial"/>
          <w:i/>
          <w:lang w:val="es-ES_tradnl"/>
        </w:rPr>
        <w:t>sin afectar las entradas ya compradas</w:t>
      </w:r>
      <w:r>
        <w:rPr>
          <w:rFonts w:ascii="Arial" w:hAnsi="Arial" w:cs="Arial"/>
          <w:lang w:val="es-ES_tradnl"/>
        </w:rPr>
        <w:t xml:space="preserve">. </w:t>
      </w:r>
    </w:p>
    <w:p w14:paraId="0DDDA252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AA8E92D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cambios que se realizarán son:</w:t>
      </w:r>
    </w:p>
    <w:p w14:paraId="0D061E78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3ECBA122" w14:textId="77777777" w:rsidR="00B41F17" w:rsidRPr="00E764F9" w:rsidRDefault="00B41F17" w:rsidP="00B41F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E764F9">
        <w:rPr>
          <w:rFonts w:ascii="Arial" w:hAnsi="Arial" w:cs="Arial"/>
          <w:lang w:val="es-ES_tradnl"/>
        </w:rPr>
        <w:t xml:space="preserve">Conexión de las gradas 1 y 2 para aumentar los boletos del </w:t>
      </w:r>
      <w:proofErr w:type="spellStart"/>
      <w:r w:rsidRPr="00E764F9">
        <w:rPr>
          <w:rFonts w:ascii="Arial" w:hAnsi="Arial" w:cs="Arial"/>
          <w:lang w:val="es-ES_tradnl"/>
        </w:rPr>
        <w:t>Main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E764F9">
        <w:rPr>
          <w:rFonts w:ascii="Arial" w:hAnsi="Arial" w:cs="Arial"/>
          <w:lang w:val="es-ES_tradnl"/>
        </w:rPr>
        <w:t>Grandstand</w:t>
      </w:r>
      <w:proofErr w:type="spellEnd"/>
      <w:r w:rsidRPr="00E764F9">
        <w:rPr>
          <w:rFonts w:ascii="Arial" w:hAnsi="Arial" w:cs="Arial"/>
          <w:lang w:val="es-ES_tradnl"/>
        </w:rPr>
        <w:t>.</w:t>
      </w:r>
    </w:p>
    <w:p w14:paraId="24F17064" w14:textId="77777777" w:rsidR="00B41F17" w:rsidRDefault="00B41F17" w:rsidP="00B41F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integración de una nueva grada de Admisión General 2B, situada en la recta principal.</w:t>
      </w:r>
    </w:p>
    <w:p w14:paraId="5D717A67" w14:textId="77777777" w:rsidR="00B41F17" w:rsidRDefault="00B41F17" w:rsidP="00B41F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102E92">
        <w:rPr>
          <w:rFonts w:ascii="Arial" w:hAnsi="Arial" w:cs="Arial"/>
          <w:lang w:val="es-ES_tradnl"/>
        </w:rPr>
        <w:t xml:space="preserve">La grada de Admisión General 6A que estaba en el </w:t>
      </w:r>
      <w:proofErr w:type="spellStart"/>
      <w:r w:rsidRPr="00102E92">
        <w:rPr>
          <w:rFonts w:ascii="Arial" w:hAnsi="Arial" w:cs="Arial"/>
          <w:lang w:val="es-ES_tradnl"/>
        </w:rPr>
        <w:t>infield</w:t>
      </w:r>
      <w:proofErr w:type="spellEnd"/>
      <w:r w:rsidRPr="00102E92">
        <w:rPr>
          <w:rFonts w:ascii="Arial" w:hAnsi="Arial" w:cs="Arial"/>
          <w:lang w:val="es-ES_tradnl"/>
        </w:rPr>
        <w:t xml:space="preserve"> del complejo Moisés Solana</w:t>
      </w:r>
      <w:r>
        <w:rPr>
          <w:rFonts w:ascii="Arial" w:hAnsi="Arial" w:cs="Arial"/>
          <w:lang w:val="es-ES_tradnl"/>
        </w:rPr>
        <w:t xml:space="preserve"> se</w:t>
      </w:r>
      <w:r w:rsidRPr="00102E92">
        <w:rPr>
          <w:rFonts w:ascii="Arial" w:hAnsi="Arial" w:cs="Arial"/>
          <w:lang w:val="es-ES_tradnl"/>
        </w:rPr>
        <w:t xml:space="preserve"> cambia a la recta corta </w:t>
      </w:r>
      <w:r>
        <w:rPr>
          <w:rFonts w:ascii="Arial" w:hAnsi="Arial" w:cs="Arial"/>
          <w:lang w:val="es-ES_tradnl"/>
        </w:rPr>
        <w:t>con el fin de hacer más eficiente su aforo.</w:t>
      </w:r>
    </w:p>
    <w:p w14:paraId="6571A598" w14:textId="77777777" w:rsidR="00B41F17" w:rsidRDefault="00B41F17" w:rsidP="00B41F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102E92">
        <w:rPr>
          <w:rFonts w:ascii="Arial" w:hAnsi="Arial" w:cs="Arial"/>
          <w:lang w:val="es-ES_tradnl"/>
        </w:rPr>
        <w:t>Ampliación de los espacios con nuevos asientos en el Foro Sol, Zona Sur y Norte.</w:t>
      </w:r>
    </w:p>
    <w:p w14:paraId="53EAB2CD" w14:textId="77777777" w:rsidR="00B41F17" w:rsidRDefault="00B41F17" w:rsidP="00B41F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renovación de la grada 9 y la inclusión de una grada continua en las sección del estadio, correspondiente a las gradas 10 y 11.</w:t>
      </w:r>
    </w:p>
    <w:p w14:paraId="6DDA429A" w14:textId="77777777" w:rsidR="00B41F17" w:rsidRDefault="00B41F17" w:rsidP="00B41F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E764F9">
        <w:rPr>
          <w:rFonts w:ascii="Arial" w:hAnsi="Arial" w:cs="Arial"/>
          <w:lang w:val="es-ES_tradnl"/>
        </w:rPr>
        <w:t xml:space="preserve">La mejora en el espacio e </w:t>
      </w:r>
      <w:proofErr w:type="spellStart"/>
      <w:r w:rsidRPr="00E764F9">
        <w:rPr>
          <w:rFonts w:ascii="Arial" w:hAnsi="Arial" w:cs="Arial"/>
          <w:lang w:val="es-ES_tradnl"/>
        </w:rPr>
        <w:t>isóptica</w:t>
      </w:r>
      <w:proofErr w:type="spellEnd"/>
      <w:r w:rsidRPr="00E764F9">
        <w:rPr>
          <w:rFonts w:ascii="Arial" w:hAnsi="Arial" w:cs="Arial"/>
          <w:lang w:val="es-ES_tradnl"/>
        </w:rPr>
        <w:t xml:space="preserve"> de las gradas, aumentando la capacidad en diferentes zonas del autódromo sin afectar a los boletos previamente adquiridos.</w:t>
      </w:r>
    </w:p>
    <w:p w14:paraId="693A0FDE" w14:textId="77777777" w:rsidR="00B41F17" w:rsidRDefault="00B41F17" w:rsidP="00B41F17">
      <w:pPr>
        <w:pStyle w:val="NoSpacing"/>
        <w:jc w:val="both"/>
        <w:rPr>
          <w:rFonts w:ascii="Arial" w:hAnsi="Arial" w:cs="Arial"/>
        </w:rPr>
      </w:pPr>
    </w:p>
    <w:p w14:paraId="737FB6A6" w14:textId="77777777" w:rsidR="00B41F17" w:rsidRDefault="00B41F17" w:rsidP="00B41F17">
      <w:pPr>
        <w:pStyle w:val="NoSpacing"/>
        <w:jc w:val="center"/>
        <w:rPr>
          <w:rFonts w:ascii="Arial" w:hAnsi="Arial" w:cs="Arial"/>
        </w:rPr>
      </w:pPr>
      <w:r w:rsidRPr="00DD374A">
        <w:rPr>
          <w:rFonts w:ascii="Arial" w:hAnsi="Arial" w:cs="Arial"/>
          <w:noProof/>
          <w:lang w:val="en-US"/>
        </w:rPr>
        <w:drawing>
          <wp:inline distT="0" distB="0" distL="0" distR="0" wp14:anchorId="35701BF8" wp14:editId="28EDCA65">
            <wp:extent cx="5612130" cy="3119755"/>
            <wp:effectExtent l="19050" t="0" r="762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da Nussli 10 y 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F9F1" w14:textId="77777777" w:rsidR="00B41F17" w:rsidRDefault="00B41F17" w:rsidP="00B41F1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Unión grada 10 y 11 con Sky Boxes</w:t>
      </w:r>
    </w:p>
    <w:p w14:paraId="59173AF0" w14:textId="77777777" w:rsidR="00B41F17" w:rsidRDefault="00B41F17" w:rsidP="00B41F17">
      <w:pPr>
        <w:pStyle w:val="NoSpacing"/>
        <w:jc w:val="both"/>
        <w:rPr>
          <w:rFonts w:ascii="Arial" w:hAnsi="Arial" w:cs="Arial"/>
        </w:rPr>
      </w:pPr>
    </w:p>
    <w:p w14:paraId="6B3CDF5A" w14:textId="77777777" w:rsidR="00B41F17" w:rsidRDefault="00B41F17" w:rsidP="00B41F17">
      <w:pPr>
        <w:spacing w:after="0" w:line="240" w:lineRule="auto"/>
        <w:rPr>
          <w:rFonts w:ascii="Arial" w:hAnsi="Arial" w:cs="Arial"/>
          <w:b/>
          <w:u w:val="single"/>
          <w:lang w:val="es-ES_tradnl"/>
        </w:rPr>
      </w:pPr>
    </w:p>
    <w:p w14:paraId="19517B8E" w14:textId="77777777" w:rsidR="00B41F17" w:rsidRPr="0064093F" w:rsidRDefault="00B41F17" w:rsidP="00B41F1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s-ES_tradnl"/>
        </w:rPr>
      </w:pPr>
      <w:r w:rsidRPr="0064093F">
        <w:rPr>
          <w:rFonts w:ascii="Arial" w:hAnsi="Arial" w:cs="Arial"/>
          <w:i/>
          <w:sz w:val="20"/>
          <w:szCs w:val="20"/>
          <w:lang w:val="es-ES_tradnl"/>
        </w:rPr>
        <w:t xml:space="preserve">Recorre y disfruta México con el </w:t>
      </w:r>
      <w:bookmarkStart w:id="0" w:name="_GoBack"/>
      <w:r>
        <w:rPr>
          <w:rFonts w:ascii="Arial" w:hAnsi="Arial" w:cs="Arial"/>
          <w:i/>
          <w:sz w:val="20"/>
          <w:szCs w:val="20"/>
          <w:lang w:val="es-ES_tradnl"/>
        </w:rPr>
        <w:t>FORMULA</w:t>
      </w:r>
      <w:bookmarkEnd w:id="0"/>
      <w:r>
        <w:rPr>
          <w:rFonts w:ascii="Arial" w:hAnsi="Arial" w:cs="Arial"/>
          <w:i/>
          <w:sz w:val="20"/>
          <w:szCs w:val="20"/>
          <w:lang w:val="es-ES_tradnl"/>
        </w:rPr>
        <w:t xml:space="preserve"> 1 GRAN PREMIO DE MÉXICO 2015</w:t>
      </w:r>
      <w:r w:rsidR="00E4564A">
        <w:rPr>
          <w:rFonts w:ascii="Arial" w:hAnsi="Arial" w:cs="Arial"/>
          <w:i/>
          <w:sz w:val="20"/>
          <w:szCs w:val="20"/>
          <w:lang w:val="es-ES_tradnl"/>
        </w:rPr>
        <w:t>®</w:t>
      </w:r>
      <w:r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65FDB3CD" w14:textId="77777777" w:rsidR="00B41F17" w:rsidRPr="0064093F" w:rsidRDefault="00B41F17" w:rsidP="00B41F1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www.ahr.mx</w:t>
      </w:r>
    </w:p>
    <w:p w14:paraId="50E7A8AC" w14:textId="77777777" w:rsidR="00B41F17" w:rsidRPr="0064093F" w:rsidRDefault="00B41F17" w:rsidP="00B41F1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Facebook: Autódromo Hermanos Rodríguez</w:t>
      </w:r>
    </w:p>
    <w:p w14:paraId="623EA939" w14:textId="77777777" w:rsidR="00B41F17" w:rsidRPr="0064093F" w:rsidRDefault="00B41F17" w:rsidP="00B41F1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Instagram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>/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Twitter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>: @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autodromohr</w:t>
      </w:r>
      <w:proofErr w:type="spellEnd"/>
    </w:p>
    <w:p w14:paraId="18EEC846" w14:textId="77777777" w:rsidR="00B41F17" w:rsidRDefault="00B41F17" w:rsidP="00B41F1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#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MexicoGP</w:t>
      </w:r>
      <w:proofErr w:type="spellEnd"/>
    </w:p>
    <w:p w14:paraId="1B85F3BB" w14:textId="77777777" w:rsidR="00B41F17" w:rsidRDefault="00B41F17" w:rsidP="00B41F1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CE41FA7" w14:textId="77777777" w:rsidR="00B41F17" w:rsidRPr="0064093F" w:rsidRDefault="00B41F17" w:rsidP="00B41F1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Descarga el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render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y el plano de gradas en el siguiente link:</w:t>
      </w:r>
      <w:r w:rsidRPr="00FC2200">
        <w:rPr>
          <w:rFonts w:ascii="Helvetica" w:eastAsia="Times New Roman" w:hAnsi="Helvetica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="Helvetica" w:eastAsia="Times New Roman" w:hAnsi="Helvetica"/>
            <w:color w:val="1294DC"/>
            <w:sz w:val="20"/>
            <w:szCs w:val="20"/>
            <w:u w:val="none"/>
          </w:rPr>
          <w:t>http://we.tl/4jHR8Sqf8O</w:t>
        </w:r>
      </w:hyperlink>
    </w:p>
    <w:p w14:paraId="569F37E3" w14:textId="77777777" w:rsidR="00B41F17" w:rsidRDefault="00B41F17" w:rsidP="00B41F17">
      <w:pPr>
        <w:spacing w:after="0" w:line="240" w:lineRule="auto"/>
        <w:jc w:val="center"/>
        <w:rPr>
          <w:rFonts w:ascii="Arial" w:hAnsi="Arial" w:cs="Arial"/>
          <w:b/>
          <w:u w:val="single"/>
          <w:lang w:val="es-ES_tradnl"/>
        </w:rPr>
      </w:pPr>
    </w:p>
    <w:p w14:paraId="352FE0CC" w14:textId="77777777" w:rsidR="00B41F17" w:rsidRPr="00E4354B" w:rsidRDefault="00B41F17" w:rsidP="00B41F1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B1745">
        <w:rPr>
          <w:rFonts w:ascii="Arial" w:hAnsi="Arial" w:cs="Arial"/>
          <w:b/>
          <w:sz w:val="20"/>
          <w:szCs w:val="20"/>
        </w:rPr>
        <w:t>Contacto</w:t>
      </w:r>
      <w:r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62"/>
      </w:tblGrid>
      <w:tr w:rsidR="00B41F17" w14:paraId="40379F61" w14:textId="77777777" w:rsidTr="00F0028A">
        <w:tc>
          <w:tcPr>
            <w:tcW w:w="5056" w:type="dxa"/>
            <w:shd w:val="clear" w:color="auto" w:fill="auto"/>
          </w:tcPr>
          <w:p w14:paraId="08CFCA14" w14:textId="77777777" w:rsidR="00B41F17" w:rsidRPr="00B159BB" w:rsidRDefault="00B41F17" w:rsidP="00F002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Francisco Velázquez</w:t>
            </w:r>
          </w:p>
          <w:p w14:paraId="26881E2F" w14:textId="77777777" w:rsidR="00B41F17" w:rsidRPr="00B159BB" w:rsidRDefault="00E4564A" w:rsidP="00F002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41F17" w:rsidRPr="00B159BB">
                <w:rPr>
                  <w:rStyle w:val="Hyperlink"/>
                  <w:rFonts w:ascii="Arial" w:hAnsi="Arial" w:cs="Arial"/>
                  <w:sz w:val="20"/>
                  <w:szCs w:val="20"/>
                </w:rPr>
                <w:t>fvelazquezc@cie.com.mx</w:t>
              </w:r>
            </w:hyperlink>
          </w:p>
          <w:p w14:paraId="4EFABE66" w14:textId="77777777" w:rsidR="00B41F17" w:rsidRPr="00B159BB" w:rsidRDefault="00B41F17" w:rsidP="00F00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(52 55) 52019089</w:t>
            </w:r>
          </w:p>
          <w:p w14:paraId="04673A48" w14:textId="77777777" w:rsidR="00B41F17" w:rsidRPr="00B159BB" w:rsidRDefault="00B41F17" w:rsidP="00F002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CIE</w:t>
            </w:r>
          </w:p>
        </w:tc>
        <w:tc>
          <w:tcPr>
            <w:tcW w:w="5056" w:type="dxa"/>
            <w:shd w:val="clear" w:color="auto" w:fill="auto"/>
          </w:tcPr>
          <w:p w14:paraId="07338CDD" w14:textId="77777777" w:rsidR="00B41F17" w:rsidRPr="00B159BB" w:rsidRDefault="00B41F17" w:rsidP="00F002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Manuel Orvañanos</w:t>
            </w:r>
          </w:p>
          <w:p w14:paraId="5FAFB04F" w14:textId="77777777" w:rsidR="00B41F17" w:rsidRPr="00B159BB" w:rsidRDefault="00E4564A" w:rsidP="00F002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41F17" w:rsidRPr="00B159BB">
                <w:rPr>
                  <w:rStyle w:val="Hyperlink"/>
                  <w:rFonts w:ascii="Arial" w:hAnsi="Arial" w:cs="Arial"/>
                  <w:sz w:val="20"/>
                  <w:szCs w:val="20"/>
                </w:rPr>
                <w:t>manuel@bandofinsiders.com</w:t>
              </w:r>
            </w:hyperlink>
          </w:p>
          <w:p w14:paraId="720B9F1D" w14:textId="77777777" w:rsidR="00B41F17" w:rsidRPr="00B159BB" w:rsidRDefault="00B41F17" w:rsidP="00F002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(52 55) </w:t>
            </w:r>
            <w:r>
              <w:rPr>
                <w:rFonts w:ascii="Arial" w:hAnsi="Arial" w:cs="Arial"/>
                <w:sz w:val="20"/>
                <w:szCs w:val="20"/>
              </w:rPr>
              <w:t>638666</w:t>
            </w:r>
            <w:r w:rsidRPr="00B159BB">
              <w:rPr>
                <w:rFonts w:ascii="Arial" w:hAnsi="Arial" w:cs="Arial"/>
                <w:sz w:val="20"/>
                <w:szCs w:val="20"/>
              </w:rPr>
              <w:t>86</w:t>
            </w:r>
          </w:p>
          <w:p w14:paraId="42E40243" w14:textId="77777777" w:rsidR="00B41F17" w:rsidRPr="00B159BB" w:rsidRDefault="00B41F17" w:rsidP="00F002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Band of Insiders</w:t>
            </w:r>
          </w:p>
        </w:tc>
      </w:tr>
    </w:tbl>
    <w:p w14:paraId="30EA1A51" w14:textId="77777777" w:rsidR="00B41F17" w:rsidRDefault="00B41F17" w:rsidP="00B41F17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2000533E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>Sobre CIE</w:t>
      </w:r>
    </w:p>
    <w:p w14:paraId="478645BE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r w:rsidRPr="00F80FBC">
        <w:rPr>
          <w:rFonts w:ascii="Arial" w:hAnsi="Arial" w:cs="Arial"/>
          <w:color w:val="333333"/>
          <w:sz w:val="16"/>
          <w:szCs w:val="16"/>
          <w:lang w:val="es-ES_tradnl"/>
        </w:rPr>
        <w:t xml:space="preserve">Corporación Interamericana de Entretenimiento, S.A.B de C. V. </w:t>
      </w:r>
    </w:p>
    <w:p w14:paraId="052E6A29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</w:p>
    <w:p w14:paraId="60AB5C18" w14:textId="77777777" w:rsidR="00B41F17" w:rsidRPr="00F80FBC" w:rsidRDefault="00E4564A" w:rsidP="00B41F17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hyperlink r:id="rId15" w:history="1">
        <w:r w:rsidR="00B41F17" w:rsidRPr="00F80FBC">
          <w:rPr>
            <w:rStyle w:val="Hyperlink"/>
            <w:rFonts w:ascii="Arial" w:hAnsi="Arial" w:cs="Arial"/>
            <w:lang w:val="es-ES_tradnl"/>
          </w:rPr>
          <w:t>www.cie.com.mx</w:t>
        </w:r>
      </w:hyperlink>
    </w:p>
    <w:p w14:paraId="28F8DD36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E4B27F2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Somos la compañía líder en el mercado del entretenimiento fuera de casa en México, Colombia y Centroamérica y uno de los participantes más destacados en el ámbito latinoamericano y mundial en la industria del espectáculo. </w:t>
      </w:r>
    </w:p>
    <w:p w14:paraId="54486C1E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968A8D1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 </w:t>
      </w:r>
    </w:p>
    <w:p w14:paraId="3F2145AC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A7AB91D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511C8160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D9C12D2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CIE es una empresa pública cuyas acciones y títulos de deuda cotizan en la Bolsa Mexicana de Valores.</w:t>
      </w:r>
    </w:p>
    <w:p w14:paraId="778ADF0C" w14:textId="77777777" w:rsidR="00B41F17" w:rsidRPr="00F80FBC" w:rsidRDefault="00B41F17" w:rsidP="00B41F17">
      <w:pPr>
        <w:spacing w:after="0" w:line="240" w:lineRule="auto"/>
        <w:rPr>
          <w:rFonts w:ascii="Cambria" w:hAnsi="Cambria"/>
          <w:sz w:val="16"/>
          <w:szCs w:val="16"/>
          <w:lang w:val="es-ES_tradnl"/>
        </w:rPr>
      </w:pPr>
    </w:p>
    <w:p w14:paraId="259BCA9E" w14:textId="77777777" w:rsidR="00B41F17" w:rsidRPr="00F80FBC" w:rsidRDefault="00B41F17" w:rsidP="00B41F1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>Sobre NUSSLI</w:t>
      </w:r>
    </w:p>
    <w:p w14:paraId="64B8E198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3B36806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NUSSLI es un proveedor líder global de las construcciones temporales para eventos, ferias y exposiciones. La combinación de la experiencia de muchos años, conocimientos en profundidad y una red internacional asegura la implementación focalizada y rentable de las especificaciones del cliente. El éxito de NUSSLI es impulsado por la fiabilidad y el compromiso inquebrantable de superación. La compañía ofrece soluciones individuales y personalizadas integradas desde el concepto inicial hasta la ejecución final. Todos estos proyectos se caracterizan por plazos de ejecución cortos y calidad inigualable.</w:t>
      </w:r>
    </w:p>
    <w:p w14:paraId="34AA85EC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CE07D1D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Los principales productos de NUSSLI son tribunas y estadios modulares, stands de feria y construcciones pabellón, incluyendo toda la infraestructura para eventos. Una amplia gama de servicios y productos combinados con las capacidades de planificación y producción in-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house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dejan a NUSSLI como inigualable en eventos en todo el mundo.</w:t>
      </w:r>
    </w:p>
    <w:p w14:paraId="1B2C74DD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38C0606" w14:textId="77777777" w:rsidR="00B41F17" w:rsidRPr="0083119B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NUSSLI tiene su sede en Suiza. Además de las filiales internacionales en Alemania, Austria, República Checa, España, Italia y los EE.UU., la empresa está representada por socios y oficinas de venta</w:t>
      </w:r>
      <w:r>
        <w:rPr>
          <w:rFonts w:ascii="Arial" w:hAnsi="Arial" w:cs="Arial"/>
          <w:sz w:val="16"/>
          <w:szCs w:val="16"/>
          <w:lang w:val="es-ES_tradnl"/>
        </w:rPr>
        <w:t>s y proyectos de todo el mundo.</w:t>
      </w:r>
    </w:p>
    <w:p w14:paraId="7DCFCF72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8563C41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 xml:space="preserve">Sobre </w:t>
      </w:r>
      <w:proofErr w:type="spellStart"/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>QuintEvents</w:t>
      </w:r>
      <w:proofErr w:type="spellEnd"/>
    </w:p>
    <w:p w14:paraId="0F525C90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65B5B6B5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proofErr w:type="spellStart"/>
      <w:r>
        <w:rPr>
          <w:rFonts w:ascii="Arial" w:hAnsi="Arial" w:cs="Arial"/>
          <w:sz w:val="16"/>
          <w:szCs w:val="16"/>
          <w:lang w:val="es-ES_tradnl"/>
        </w:rPr>
        <w:t>QuintEvents</w:t>
      </w:r>
      <w:proofErr w:type="spellEnd"/>
      <w:r>
        <w:rPr>
          <w:rFonts w:ascii="Arial" w:hAnsi="Arial" w:cs="Arial"/>
          <w:sz w:val="16"/>
          <w:szCs w:val="16"/>
          <w:lang w:val="es-ES_tradnl"/>
        </w:rPr>
        <w:t xml:space="preserve"> ha</w:t>
      </w:r>
      <w:r w:rsidRPr="00F80FBC">
        <w:rPr>
          <w:rFonts w:ascii="Arial" w:hAnsi="Arial" w:cs="Arial"/>
          <w:sz w:val="16"/>
          <w:szCs w:val="16"/>
          <w:lang w:val="es-ES_tradnl"/>
        </w:rPr>
        <w:t xml:space="preserve"> sido seleccionado por 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F80FBC">
        <w:rPr>
          <w:rFonts w:ascii="Arial" w:hAnsi="Arial" w:cs="Arial"/>
          <w:sz w:val="16"/>
          <w:szCs w:val="16"/>
          <w:lang w:val="es-ES_tradnl"/>
        </w:rPr>
        <w:t xml:space="preserve">CIE, para desarrollar, promocionar, y realizar paquetes de viajes/experiencias para su internacional prominente carrera, el FORMULA 1 GRAN PREMIO DE MEXICO 2015™.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QuintEvents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tiene el orgullo de ser el Oficial Global Proveedor de Hospedaje para el inaugural FORMULA 1 GRAN PREMIO DE MÉXICO 2015™.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QuintEvents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realiza paquetes de experiencias de alto nivel y extras exclusivos directamente de la fuente! Usando nuestras colaboraciones únicas con unos de los nombres más grande en los deportes y entretenimiento, nosotros ofrecemos paquetes de viaje y hospedaje que dan acceso a nuestros clientes a entradas, grandes bloqueos de asientos, los mejores hoteles, apariciones de celebridades, entradas privilegiadas, acceso a fiestas exclusivas en los eventos más prestigiosos del mundo y otro acceso que transforma a un evento a una “Experiencia.”</w:t>
      </w:r>
    </w:p>
    <w:p w14:paraId="072F3904" w14:textId="77777777" w:rsidR="00B41F17" w:rsidRPr="00F80FBC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9AAFA36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QuintEvents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tiene el orgullo de ser el Oficial Global Proveedor de Hospedaje para el FORMULA 1 GRAN PREMIO DE MÉXICO 2015™, ser Oficial Proveedor de Evento Experiencias para el NFL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On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Location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para eventos incluyendo el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Super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Bowl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Pro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Bowl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Draft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International Series y el Pro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Football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Hall of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Fame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Enshrinement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Weekend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el Oficial Proveedor de Paquetes de Experiencias al Churchill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Downs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®  para el Kentucky Derby® y el Kentucky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Oaks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®, Oficial Proveedor de Hospedaje al NBA para el NBA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All-Star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Game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y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Draft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el Exclusivo Oficial Proveedor de Paquetes de Entradas, Hospedaje y Viajes al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Circuit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of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the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Americas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™ para el FORMULA 1 UNITED STATES GRAND PRIX™,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United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SportsCar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Racing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Series, y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MotoGP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™ serie de carreras, un Formula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One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Paddock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Club™ Distribuidor Autorizado para el FIA FORMULA ONE WORLD CHAMPIONSHIP™, una Agencia Autorizada del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MotoGP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VIP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Village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™ para 18 carreras alrededor del mundo, el Exclusivo Oficial Proveedor de Paquetes de Entradas, Hospedaje y Viajes para el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Breeders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’ Cup®, el Exclusivo Oficial Proveedor de Paquetes de Entradas, Hospedaje y Viajes al UFC® para Eventos de Experiencias VIP, un Oficial Proveedor de Experiencias para el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College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Football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Playoff Premium para el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College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Football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National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Championship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Game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, y el Oficial Proveedor de Entradas, Hospedaje y Viajes a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Barrett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-Jackson para el Scottsdale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Collector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 xml:space="preserve"> Car </w:t>
      </w:r>
      <w:proofErr w:type="spellStart"/>
      <w:r w:rsidRPr="00F80FBC">
        <w:rPr>
          <w:rFonts w:ascii="Arial" w:hAnsi="Arial" w:cs="Arial"/>
          <w:sz w:val="16"/>
          <w:szCs w:val="16"/>
          <w:lang w:val="es-ES_tradnl"/>
        </w:rPr>
        <w:t>Auction</w:t>
      </w:r>
      <w:proofErr w:type="spellEnd"/>
      <w:r w:rsidRPr="00F80FBC">
        <w:rPr>
          <w:rFonts w:ascii="Arial" w:hAnsi="Arial" w:cs="Arial"/>
          <w:sz w:val="16"/>
          <w:szCs w:val="16"/>
          <w:lang w:val="es-ES_tradnl"/>
        </w:rPr>
        <w:t>.</w:t>
      </w:r>
    </w:p>
    <w:p w14:paraId="6F4DC673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5C32C01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7B7BF083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5CC6BCBC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 xml:space="preserve">Sobre </w:t>
      </w:r>
      <w:proofErr w:type="spellStart"/>
      <w:r>
        <w:rPr>
          <w:rFonts w:ascii="Arial" w:hAnsi="Arial" w:cs="Arial"/>
          <w:b/>
          <w:sz w:val="16"/>
          <w:szCs w:val="16"/>
          <w:u w:val="single"/>
          <w:lang w:val="es-ES_tradnl"/>
        </w:rPr>
        <w:t>Mundomex</w:t>
      </w:r>
      <w:proofErr w:type="spellEnd"/>
    </w:p>
    <w:p w14:paraId="4F436EE8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6902A8B9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A lo largo de más de cuatro décadas de vida, </w:t>
      </w:r>
      <w:proofErr w:type="spellStart"/>
      <w:r>
        <w:rPr>
          <w:rFonts w:ascii="Arial" w:hAnsi="Arial" w:cs="Arial"/>
          <w:sz w:val="16"/>
          <w:szCs w:val="16"/>
          <w:lang w:val="es-ES_tradnl"/>
        </w:rPr>
        <w:t>Mundomex</w:t>
      </w:r>
      <w:proofErr w:type="spellEnd"/>
      <w:r>
        <w:rPr>
          <w:rFonts w:ascii="Arial" w:hAnsi="Arial" w:cs="Arial"/>
          <w:sz w:val="16"/>
          <w:szCs w:val="16"/>
          <w:lang w:val="es-ES_tradnl"/>
        </w:rPr>
        <w:t xml:space="preserve"> ha logrado integrar una gran compañía que ofrece servicios diversificados de viaje como: asesoría profesional a las pequeñas, medianas y grandes corporaciones, desarrollo de atractivos paquetes vacacionales, organización de convenciones en México o en cualquier parte del Mundo y atención a turistas extranjeros.</w:t>
      </w:r>
    </w:p>
    <w:p w14:paraId="260FB75F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3FA7C25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Actualmente contamos con más de 120 empleados altamente capacitados, ofreciendo un servicio integral con tecnología de punta de diversas áreas.</w:t>
      </w:r>
    </w:p>
    <w:p w14:paraId="7B797FF7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F2F0F7A" w14:textId="77777777" w:rsidR="00B41F17" w:rsidRDefault="00B41F17" w:rsidP="00B41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Buscamos incesantemente la innovación y el éxito, basados en las necesidades de nuestros clientes para ofrecerles un servicio de calidad que exceda las expectativas y a la vez genere valor. Queremos consolidarnos como la mejor empresa de Viajes y Producción con la capacidad de dar respuesta de servicio con los más altos niveles de calidad.</w:t>
      </w:r>
    </w:p>
    <w:p w14:paraId="4B71B920" w14:textId="77777777" w:rsidR="00B41F17" w:rsidRDefault="00B41F17" w:rsidP="00B41F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4D7D990" w14:textId="77777777" w:rsidR="00B41F17" w:rsidRDefault="00B41F17" w:rsidP="00B41F17">
      <w:pPr>
        <w:spacing w:after="0" w:line="240" w:lineRule="auto"/>
        <w:rPr>
          <w:rFonts w:ascii="Cambria" w:hAnsi="Cambria"/>
          <w:sz w:val="16"/>
          <w:szCs w:val="16"/>
          <w:lang w:val="es-ES_tradnl"/>
        </w:rPr>
      </w:pPr>
    </w:p>
    <w:p w14:paraId="47C25A74" w14:textId="77777777" w:rsidR="00B41F17" w:rsidRDefault="00B41F17" w:rsidP="00B41F1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  <w:lang w:val="es-ES_tradnl"/>
        </w:rPr>
      </w:pPr>
    </w:p>
    <w:p w14:paraId="0614F8A0" w14:textId="77777777" w:rsidR="00B41F17" w:rsidRDefault="00B41F17" w:rsidP="00B41F17">
      <w:pPr>
        <w:rPr>
          <w:lang w:val="es-ES_tradnl"/>
        </w:rPr>
      </w:pPr>
    </w:p>
    <w:p w14:paraId="6D92B57D" w14:textId="77777777" w:rsidR="00B41F17" w:rsidRDefault="00B41F17" w:rsidP="00B41F17">
      <w:pPr>
        <w:rPr>
          <w:lang w:val="es-ES_tradnl"/>
        </w:rPr>
      </w:pPr>
    </w:p>
    <w:p w14:paraId="3049726C" w14:textId="77777777" w:rsidR="00B41F17" w:rsidRPr="00FF3ABE" w:rsidRDefault="00B41F17" w:rsidP="00B41F17">
      <w:pPr>
        <w:rPr>
          <w:lang w:val="es-ES_tradnl"/>
        </w:rPr>
      </w:pPr>
    </w:p>
    <w:p w14:paraId="0CB77660" w14:textId="77777777" w:rsidR="00D47086" w:rsidRDefault="00D47086"/>
    <w:sectPr w:rsidR="00D47086" w:rsidSect="001B4383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DB4AD" w14:textId="77777777" w:rsidR="00B41F17" w:rsidRDefault="00B41F17" w:rsidP="00B41F17">
      <w:pPr>
        <w:spacing w:after="0" w:line="240" w:lineRule="auto"/>
      </w:pPr>
      <w:r>
        <w:separator/>
      </w:r>
    </w:p>
  </w:endnote>
  <w:endnote w:type="continuationSeparator" w:id="0">
    <w:p w14:paraId="71A7DB2E" w14:textId="77777777" w:rsidR="00B41F17" w:rsidRDefault="00B41F17" w:rsidP="00B4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2A9D" w14:textId="77777777" w:rsidR="00B41F17" w:rsidRDefault="00B41F17">
    <w:pPr>
      <w:pStyle w:val="Footer"/>
    </w:pPr>
    <w:r>
      <w:rPr>
        <w:noProof/>
        <w:lang w:val="en-US" w:eastAsia="en-US"/>
      </w:rPr>
      <w:drawing>
        <wp:inline distT="0" distB="0" distL="0" distR="0" wp14:anchorId="04678341" wp14:editId="122304B8">
          <wp:extent cx="5612130" cy="836543"/>
          <wp:effectExtent l="0" t="0" r="1270" b="1905"/>
          <wp:docPr id="9" name="8 Imagen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3B3D" w14:textId="77777777" w:rsidR="00B41F17" w:rsidRDefault="00B41F17" w:rsidP="00B41F17">
      <w:pPr>
        <w:spacing w:after="0" w:line="240" w:lineRule="auto"/>
      </w:pPr>
      <w:r>
        <w:separator/>
      </w:r>
    </w:p>
  </w:footnote>
  <w:footnote w:type="continuationSeparator" w:id="0">
    <w:p w14:paraId="069E5B28" w14:textId="77777777" w:rsidR="00B41F17" w:rsidRDefault="00B41F17" w:rsidP="00B4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B310" w14:textId="77777777" w:rsidR="00B41F17" w:rsidRDefault="00B41F17">
    <w:pPr>
      <w:pStyle w:val="Header"/>
    </w:pPr>
    <w:r>
      <w:rPr>
        <w:noProof/>
        <w:lang w:val="en-US" w:eastAsia="en-US"/>
      </w:rPr>
      <w:drawing>
        <wp:inline distT="0" distB="0" distL="0" distR="0" wp14:anchorId="1F1DBC2E" wp14:editId="52C9023B">
          <wp:extent cx="5612130" cy="524041"/>
          <wp:effectExtent l="0" t="0" r="1270" b="9525"/>
          <wp:docPr id="8" name="3 Imagen" descr="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2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B39"/>
    <w:multiLevelType w:val="hybridMultilevel"/>
    <w:tmpl w:val="61A0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0688C"/>
    <w:multiLevelType w:val="hybridMultilevel"/>
    <w:tmpl w:val="169E25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47580"/>
    <w:multiLevelType w:val="hybridMultilevel"/>
    <w:tmpl w:val="13F28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7"/>
    <w:rsid w:val="00B41F17"/>
    <w:rsid w:val="00D47086"/>
    <w:rsid w:val="00E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74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7"/>
    <w:pPr>
      <w:spacing w:after="200" w:line="276" w:lineRule="auto"/>
    </w:pPr>
    <w:rPr>
      <w:rFonts w:ascii="Calibri" w:eastAsiaTheme="minorHAnsi" w:hAnsi="Calibri" w:cs="Times New Roman"/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1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41F17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7"/>
    <w:rPr>
      <w:rFonts w:ascii="Lucida Grande" w:eastAsiaTheme="minorHAnsi" w:hAnsi="Lucida Grande" w:cs="Lucida Grande"/>
      <w:sz w:val="18"/>
      <w:szCs w:val="18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B41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17"/>
    <w:rPr>
      <w:rFonts w:ascii="Calibri" w:eastAsiaTheme="minorHAnsi" w:hAnsi="Calibri" w:cs="Times New Roman"/>
      <w:sz w:val="22"/>
      <w:szCs w:val="22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B41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17"/>
    <w:rPr>
      <w:rFonts w:ascii="Calibri" w:eastAsiaTheme="minorHAnsi" w:hAnsi="Calibri" w:cs="Times New Roman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7"/>
    <w:pPr>
      <w:spacing w:after="200" w:line="276" w:lineRule="auto"/>
    </w:pPr>
    <w:rPr>
      <w:rFonts w:ascii="Calibri" w:eastAsiaTheme="minorHAnsi" w:hAnsi="Calibri" w:cs="Times New Roman"/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1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41F17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7"/>
    <w:rPr>
      <w:rFonts w:ascii="Lucida Grande" w:eastAsiaTheme="minorHAnsi" w:hAnsi="Lucida Grande" w:cs="Lucida Grande"/>
      <w:sz w:val="18"/>
      <w:szCs w:val="18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B41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17"/>
    <w:rPr>
      <w:rFonts w:ascii="Calibri" w:eastAsiaTheme="minorHAnsi" w:hAnsi="Calibri" w:cs="Times New Roman"/>
      <w:sz w:val="22"/>
      <w:szCs w:val="22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B41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17"/>
    <w:rPr>
      <w:rFonts w:ascii="Calibri" w:eastAsiaTheme="minorHAnsi" w:hAnsi="Calibri" w:cs="Times New Roman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e.tl/4jHR8Sqf8O" TargetMode="External"/><Relationship Id="rId13" Type="http://schemas.openxmlformats.org/officeDocument/2006/relationships/hyperlink" Target="mailto:fvelazquezc@cie.com.mx" TargetMode="External"/><Relationship Id="rId14" Type="http://schemas.openxmlformats.org/officeDocument/2006/relationships/hyperlink" Target="mailto:manuel@bandofinsiders.com" TargetMode="External"/><Relationship Id="rId15" Type="http://schemas.openxmlformats.org/officeDocument/2006/relationships/hyperlink" Target="http://www.cie.com.mx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cketmaster.com.mx" TargetMode="External"/><Relationship Id="rId9" Type="http://schemas.openxmlformats.org/officeDocument/2006/relationships/hyperlink" Target="http://www.ahr.mx" TargetMode="External"/><Relationship Id="rId10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9211</Characters>
  <Application>Microsoft Macintosh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2</cp:revision>
  <dcterms:created xsi:type="dcterms:W3CDTF">2015-08-04T23:02:00Z</dcterms:created>
  <dcterms:modified xsi:type="dcterms:W3CDTF">2015-08-11T15:27:00Z</dcterms:modified>
</cp:coreProperties>
</file>